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440" w:lineRule="exact"/>
        <w:ind w:firstLine="482" w:firstLineChars="200"/>
        <w:jc w:val="center"/>
        <w:outlineLvl w:val="9"/>
        <w:rPr>
          <w:rFonts w:hint="eastAsia" w:ascii="宋体" w:hAnsi="宋体" w:eastAsia="宋体" w:cs="微软雅黑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微软雅黑"/>
          <w:b/>
          <w:bCs/>
          <w:color w:val="auto"/>
          <w:sz w:val="24"/>
          <w:szCs w:val="24"/>
        </w:rPr>
        <w:t>游乐美“文旅融合特色班”学习内容简介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440" w:lineRule="exact"/>
        <w:ind w:firstLine="482" w:firstLineChars="200"/>
        <w:outlineLvl w:val="9"/>
        <w:rPr>
          <w:rFonts w:hint="eastAsia" w:ascii="宋体" w:hAnsi="宋体" w:eastAsia="宋体" w:cs="微软雅黑"/>
          <w:b/>
          <w:bCs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440" w:lineRule="exact"/>
        <w:ind w:firstLine="480" w:firstLineChars="200"/>
        <w:outlineLvl w:val="9"/>
        <w:rPr>
          <w:rFonts w:ascii="宋体" w:hAnsi="宋体" w:eastAsia="宋体" w:cs="微软雅黑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</w:rPr>
        <w:t>包括【业务类课程】及【管理类课程】两部分。学员休完【业务类课程】后，考核合格者可进入企业实习，并接受【管理类课程】培训。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outlineLvl w:val="9"/>
        <w:rPr>
          <w:rFonts w:ascii="宋体" w:hAnsi="宋体" w:cs="微软雅黑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kern w:val="0"/>
          <w:sz w:val="24"/>
          <w:szCs w:val="24"/>
        </w:rPr>
        <w:t>【业务类课程】</w:t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849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0"/>
        <w:gridCol w:w="6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U-one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课　　时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１０Ｈ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主　　题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内  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旅游业态</w:t>
            </w:r>
          </w:p>
        </w:tc>
        <w:tc>
          <w:tcPr>
            <w:tcW w:w="6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当代旅游业发展历程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旅游业国内国际形势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旅游行业及国家政策解读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旅游业务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打破传统旅游（目的地介绍、定制旅游管理）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旅游产品研发（线上产品、线下产品）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酒店、机票、地接、签证等业务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旅游实务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旅行社计调、客服岗位工作技巧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旅游突发事件处理及案例分析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营销实践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突破自我+营销心理学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销</w:t>
            </w:r>
            <w:r>
              <w:rPr>
                <w:rFonts w:hint="eastAsia" w:ascii="微软雅黑" w:hAnsi="微软雅黑" w:cs="微软雅黑"/>
                <w:sz w:val="24"/>
                <w:szCs w:val="24"/>
              </w:rPr>
              <w:t>售业务能力提升（以卖出产品为目的）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outlineLvl w:val="9"/>
        <w:rPr>
          <w:rFonts w:hint="eastAsia" w:ascii="宋体" w:hAnsi="宋体" w:cs="微软雅黑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outlineLvl w:val="9"/>
        <w:rPr>
          <w:rFonts w:hint="eastAsia" w:ascii="宋体" w:hAnsi="宋体" w:cs="微软雅黑"/>
          <w:b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outlineLvl w:val="9"/>
        <w:rPr>
          <w:rFonts w:ascii="宋体" w:hAnsi="宋体" w:cs="微软雅黑"/>
          <w:b/>
          <w:kern w:val="0"/>
          <w:sz w:val="24"/>
          <w:szCs w:val="24"/>
        </w:rPr>
      </w:pPr>
      <w:r>
        <w:rPr>
          <w:rFonts w:hint="eastAsia" w:ascii="宋体" w:hAnsi="宋体" w:cs="微软雅黑"/>
          <w:b/>
          <w:kern w:val="0"/>
          <w:sz w:val="24"/>
          <w:szCs w:val="24"/>
        </w:rPr>
        <w:t>【管理类课程】</w:t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6"/>
        <w:gridCol w:w="62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 xml:space="preserve"> U-two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课　　时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１０Ｈ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主 题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textAlignment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kern w:val="0"/>
                <w:sz w:val="24"/>
                <w:szCs w:val="24"/>
              </w:rPr>
              <w:t>内  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团队执行力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商业人格认知及百分百责任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提升执行力工具训练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高效沟通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高效沟通的实质及在组织运用中的价值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沟通经典法则与技术＋情景模拟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管理心理学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心理学在企业管理中的运用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员工个性特征及心理应用策略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/>
                <w:color w:val="000000"/>
                <w:sz w:val="24"/>
                <w:szCs w:val="24"/>
              </w:rPr>
              <w:t>职业心态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新人职业化的心理转化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“学姐面对面”主题分享沙龙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2" w:firstLineChars="200"/>
              <w:jc w:val="center"/>
              <w:outlineLvl w:val="9"/>
              <w:rPr>
                <w:rFonts w:ascii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left"/>
              <w:textAlignment w:val="center"/>
              <w:outlineLvl w:val="9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</w:rPr>
              <w:t>职场礼仪及职业发展规划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outlineLvl w:val="9"/>
        <w:rPr>
          <w:rFonts w:ascii="宋体" w:hAnsi="宋体" w:cs="微软雅黑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330D"/>
    <w:rsid w:val="2D43330D"/>
    <w:rsid w:val="50536F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 w:val="0"/>
      <w:snapToGrid w:val="0"/>
      <w:spacing w:beforeAutospacing="1" w:afterAutospacing="1" w:line="288" w:lineRule="auto"/>
      <w:jc w:val="left"/>
    </w:pPr>
    <w:rPr>
      <w:rFonts w:ascii="Courier New" w:hAnsi="Courier New" w:eastAsia="微软雅黑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2018-09-13T03:32:00Z</dcterms:created>
  <dc:creator>于灰灰</dc:creator>
  <cp:lastModifiedBy>于灰灰</cp:lastModifiedBy>
  <dcterms:modified xsi:type="dcterms:W3CDTF">2018-09-13T03:34:19Z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